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54" w:rsidRDefault="00BB1BB1" w:rsidP="00BB1BB1">
      <w:pPr>
        <w:spacing w:after="200" w:line="320" w:lineRule="exact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Одобрен:</w:t>
      </w:r>
    </w:p>
    <w:p w:rsidR="00BB1BB1" w:rsidRDefault="00BB1BB1" w:rsidP="00BB1BB1">
      <w:pPr>
        <w:spacing w:after="200" w:line="320" w:lineRule="exact"/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Pr="00BB1BB1" w:rsidRDefault="00BB1BB1" w:rsidP="00BB1BB1">
      <w:pPr>
        <w:spacing w:after="200" w:line="320" w:lineRule="exact"/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Силвия Рангелова – Ръководител на Програмния Оператор по програма Опазване на околната среда и климатични промени </w:t>
      </w: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E16DC7" w:rsidRPr="007309D7" w:rsidRDefault="00E16DC7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b/>
          <w:sz w:val="32"/>
          <w:szCs w:val="24"/>
          <w:lang w:val="bg-BG"/>
        </w:rPr>
      </w:pPr>
      <w:r w:rsidRPr="007309D7">
        <w:rPr>
          <w:rFonts w:ascii="Times New Roman" w:eastAsia="Calibri" w:hAnsi="Times New Roman" w:cs="Times New Roman"/>
          <w:b/>
          <w:sz w:val="32"/>
          <w:szCs w:val="24"/>
          <w:lang w:val="bg-BG"/>
        </w:rPr>
        <w:t>Фонд за двустранно сътрудничество на програмно ниво</w:t>
      </w:r>
    </w:p>
    <w:p w:rsidR="007E408C" w:rsidRDefault="00E16DC7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Покана за </w:t>
      </w:r>
      <w:r w:rsidR="0049029D"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предефинирана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инициатива по фонда за двустранни отношения по програма „Опазване на околната среда и </w:t>
      </w:r>
      <w:r w:rsidR="00BB1BB1">
        <w:rPr>
          <w:rFonts w:ascii="Times New Roman" w:eastAsia="Calibri" w:hAnsi="Times New Roman" w:cs="Times New Roman"/>
          <w:sz w:val="24"/>
          <w:szCs w:val="24"/>
          <w:lang w:val="bg-BG"/>
        </w:rPr>
        <w:t>климатични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” (BG ENVIRONMENT)</w:t>
      </w:r>
    </w:p>
    <w:p w:rsidR="007C2F54" w:rsidRDefault="007C2F54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B1BB1" w:rsidRPr="00E16DC7" w:rsidRDefault="00BB1BB1" w:rsidP="00E16DC7">
      <w:pPr>
        <w:spacing w:after="200" w:line="320" w:lineRule="exact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E408C" w:rsidRDefault="007E408C" w:rsidP="007E408C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ВЪВЕДЕНИЕ 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Цел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та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тази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инициатив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е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засилване на сътрудничеството и подобряване на взаимоотношенията между България и Норвегия. 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зпълнението на дейности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те цели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увеличаване на стратегическото сътрудничество,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създаването на мрежа от специалисти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обмен на з</w:t>
      </w:r>
      <w:r w:rsidR="00BB1BB1">
        <w:rPr>
          <w:rFonts w:ascii="Times New Roman" w:eastAsia="Calibri" w:hAnsi="Times New Roman" w:cs="Times New Roman"/>
          <w:sz w:val="24"/>
          <w:szCs w:val="24"/>
          <w:lang w:val="bg-BG"/>
        </w:rPr>
        <w:t>нания между Норвегия и България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одобрените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Меморандума за разбирателство, подписан между Република България и държавите донори, се отпускат 500 000 евро от програма „Опазване на околната среда и изменение на климата” (BG ENVIRONMENT) към фонда за двустранни отношения за изпълнение на двустранна </w:t>
      </w:r>
      <w:r w:rsidR="007309D7">
        <w:rPr>
          <w:rFonts w:ascii="Times New Roman" w:eastAsia="Calibri" w:hAnsi="Times New Roman" w:cs="Times New Roman"/>
          <w:sz w:val="24"/>
          <w:szCs w:val="24"/>
          <w:lang w:val="bg-BG"/>
        </w:rPr>
        <w:t>инициатива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на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програмата ниво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E16DC7" w:rsidRPr="00E16DC7" w:rsidRDefault="00E16DC7" w:rsidP="00E16DC7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Допустимост на кандидатите и партньорите.</w:t>
      </w:r>
    </w:p>
    <w:p w:rsidR="00E16DC7" w:rsidRPr="00E16DC7" w:rsidRDefault="00E16DC7" w:rsidP="007C2F54">
      <w:pPr>
        <w:spacing w:after="200" w:line="320" w:lineRule="exact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Комитетът за сътрудничество по програма „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Опазване на околната среда и климатични промени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“ одобри двустранната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предефинирана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инициатива за изпълнение на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проект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– 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Изграждане на капацитет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разработване на техническа спецификация относно</w:t>
      </w:r>
      <w:r w:rsid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за методология за оценка на натиска и въздействието на дифузни източници на замърсяване на морските води на Черно море</w:t>
      </w:r>
      <w:r w:rsidR="007C2F54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Pr="00E16DC7">
        <w:rPr>
          <w:rFonts w:ascii="Times New Roman" w:eastAsia="Calibri" w:hAnsi="Times New Roman" w:cs="Times New Roman"/>
          <w:sz w:val="24"/>
          <w:szCs w:val="24"/>
          <w:lang w:val="bg-BG"/>
        </w:rPr>
        <w:t>. Идентифицираният бенефициент е Министерството на околната среда и водите с партньор Норвежкия институт за изследване на водата (NIVA).</w:t>
      </w:r>
    </w:p>
    <w:p w:rsid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022CE" w:rsidRPr="003022CE" w:rsidRDefault="003022CE" w:rsidP="003022CE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Размер на безвъзмездната помощ:</w:t>
      </w:r>
    </w:p>
    <w:p w:rsidR="003022CE" w:rsidRPr="003022CE" w:rsidRDefault="003022CE" w:rsidP="005A0EF7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Общият допустим бюджет съгласно тази </w:t>
      </w:r>
      <w:r w:rsidR="005A0EF7">
        <w:rPr>
          <w:rFonts w:ascii="Times New Roman" w:eastAsia="Calibri" w:hAnsi="Times New Roman" w:cs="Times New Roman"/>
          <w:sz w:val="24"/>
          <w:szCs w:val="24"/>
          <w:lang w:val="bg-BG"/>
        </w:rPr>
        <w:t>покана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</w:t>
      </w:r>
      <w:r w:rsidR="005A0EF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размер на 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500 000 евро.</w:t>
      </w:r>
    </w:p>
    <w:p w:rsid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Крайната дата за допустимост на разходите по Фонда за двустранни отношения е 30 април 2025 г.</w:t>
      </w:r>
    </w:p>
    <w:p w:rsidR="005A0EF7" w:rsidRPr="003022CE" w:rsidRDefault="005A0EF7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3022CE" w:rsidRPr="003022CE" w:rsidRDefault="003022CE" w:rsidP="003022CE">
      <w:pPr>
        <w:pStyle w:val="ListParagraph"/>
        <w:numPr>
          <w:ilvl w:val="0"/>
          <w:numId w:val="4"/>
        </w:num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Допустими разходи и дейности по фонда за двустранни отношения:</w:t>
      </w:r>
    </w:p>
    <w:p w:rsidR="004A4F8E" w:rsidRPr="004A4F8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</w:t>
      </w:r>
      <w:r w:rsidR="004A4F8E">
        <w:rPr>
          <w:rFonts w:ascii="Times New Roman" w:eastAsia="Calibri" w:hAnsi="Times New Roman" w:cs="Times New Roman"/>
          <w:sz w:val="24"/>
          <w:szCs w:val="24"/>
          <w:lang w:val="bg-BG"/>
        </w:rPr>
        <w:t>Допустими разходи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Разходите, свързани със следните дейности, са допустими за фонда, посочен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чл. </w:t>
      </w:r>
      <w:r w:rsidR="0098757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4.6. от Регламента за изпълнение на Норвежки финансов механизъм 2014-2021 (Регламента) и чл.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>8.8 от Регламент за изпълнението на ФМ на ЕИП 2014-2021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: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- дейности, насочени към укрепване на двустранните отношения между България и Норвегия;</w:t>
      </w:r>
    </w:p>
    <w:p w:rsidR="003022CE" w:rsidRP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- обмен, споделяне и трансфер на знания, технологии, опит и добри практики в България и субекти в Норвегия и/или международни организации;</w:t>
      </w:r>
    </w:p>
    <w:p w:rsidR="003022CE" w:rsidRDefault="003022CE" w:rsidP="003022C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>- дейности, насочени към укрепване на сътрудничеството и обмяна на опит и добри практики между програмните оператори и подобни субекти в България и Норвегия, както и международни организации, при условие че поне един субект в Норвегия е включен в дейността.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За да бъдат допустими по Фонда за двустранни отношения, разходите трябва да са свързани с допустими дейности и да отговарят на следните изисквания: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бъдат направени и платени между първата и крайната дата на допустимост на Инициативата, както е посочено в Споразумението за изпълнение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са свързани с предмета на Споразумението за изпълнение на инициативата и посочени в подробния бюджет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са пропорционални и необходими за изпълнението на Инициативата;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се използва с единствената цел за постигане на целта(ите) на Инициативата и нейния очакван(и) резултат(и), по начин, съвместим с принципите на икономичност, ефективност и ефикасност;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• да могат да бъдат идентифицирани</w:t>
      </w:r>
      <w:r w:rsidR="0049029D">
        <w:rPr>
          <w:rFonts w:ascii="Times New Roman" w:eastAsia="Calibri" w:hAnsi="Times New Roman" w:cs="Times New Roman"/>
          <w:sz w:val="24"/>
          <w:szCs w:val="24"/>
          <w:lang w:val="bg-BG"/>
        </w:rPr>
        <w:t>,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проверими и надлежно документирани, по-специално чрез записване в счетоводните регистри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Бенефициента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/Партньора и определени съгласно приложимите счетоводни стандарти на страната и съгласно общоприетите счетоводни принципи;</w:t>
      </w:r>
    </w:p>
    <w:p w:rsidR="00985ECB" w:rsidRP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• спазват изискванията на приложимото данъчно и социално законодателство. Разходите се считат за извършени, когато разходите са фактурирани, платени и обектът е доставен/извършен (в случай на услуги) в рамките на датите на допустимост. По изключение, разходите, за които е издадена фактура през последния месец на допустимост, също се считат за направени в рамките на датите на допустимост, ако разходите са платени в рамките на 30 дни от крайната дата за допустимост. Разходите, направени след тази крайна дата, не са допустими. Вътрешните счетоводни и одиторски процедури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а/Партньорите трябва да позволяват директно съпоставяне на декларираните разходи по отношение на Инициативата със съответните счетоводни отчети и подкрепящи документи.</w:t>
      </w:r>
    </w:p>
    <w:p w:rsid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• Такси, пътни (включително дневни) и квартирни разходи, свързани с участие в конференции, семинари, курсове за обучение, семинари, учебни посещения. Пътните и дневните надбавки за експертите, участващи в Инициативата, са допустими, при условие че са в съответствие с обичайните практики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Бенефициент</w:t>
      </w:r>
      <w:r w:rsidRPr="00985ECB">
        <w:rPr>
          <w:rFonts w:ascii="Times New Roman" w:eastAsia="Calibri" w:hAnsi="Times New Roman" w:cs="Times New Roman"/>
          <w:sz w:val="24"/>
          <w:szCs w:val="24"/>
          <w:lang w:val="bg-BG"/>
        </w:rPr>
        <w:t>а и партньорите относно пътните разходи и в съответствие със съответното национално законодателство и законодателството на държавите донори. Разходите за командировки на български участници в страната са съобразени с изискванията на Наредбата за командировките в страната в рамките на разрешения бюджет.</w:t>
      </w:r>
    </w:p>
    <w:p w:rsidR="00985ECB" w:rsidRDefault="00985EC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ECB" w:rsidTr="001814FF">
        <w:tc>
          <w:tcPr>
            <w:tcW w:w="0" w:type="auto"/>
          </w:tcPr>
          <w:p w:rsidR="00985ECB" w:rsidRDefault="00985ECB" w:rsidP="00250C25">
            <w:pPr>
              <w:spacing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B51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5E1B51">
              <w:rPr>
                <w:rFonts w:ascii="Times New Roman" w:hAnsi="Times New Roman"/>
                <w:sz w:val="24"/>
                <w:szCs w:val="24"/>
              </w:rPr>
              <w:tab/>
            </w:r>
            <w:r w:rsidR="0049029D" w:rsidRPr="00985ECB">
              <w:rPr>
                <w:rFonts w:ascii="Times New Roman" w:hAnsi="Times New Roman"/>
                <w:b/>
                <w:sz w:val="24"/>
                <w:szCs w:val="24"/>
              </w:rPr>
              <w:t>ВАЖНО!</w:t>
            </w:r>
            <w:r w:rsidRPr="00985E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Общата сума на разходите за управление, </w:t>
            </w:r>
            <w:r w:rsidR="00250C2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6D069B"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Бенефициент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</w:t>
            </w:r>
            <w:r w:rsidR="00250C2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Партньора, не трябва да надвишава 10% от бюджета на проекта. Това са разходите за управленския екип, посочени в т.</w:t>
            </w:r>
            <w:r w:rsidR="006D069B"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6D06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I, към образеца на Бюджета, представен по време на кандидатстване, които са различни от „Разходи за възнаграждения на експерти“ в към същия образец на Бюджет. Последното се предвижда за експерти, участващи в изпълнението на проекта, които не са част от ръководния екип.</w:t>
            </w:r>
          </w:p>
        </w:tc>
      </w:tr>
    </w:tbl>
    <w:p w:rsidR="006D069B" w:rsidRDefault="006D069B" w:rsidP="00985ECB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Проверка на искания за плащане</w:t>
      </w: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Исканията за плащане се верифицират от Н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КЗ</w:t>
      </w: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външен верификатор</w:t>
      </w:r>
      <w:r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рамките на 20 работни дни от подаването на междинния/окончателен финансов отчет, придружен от всички необходими подкрепящи документи, посочени в точки 1-7 в глава V.6.3. от настоящите Насоки. Процесът на проверка ще се извършва на 6 месеца.</w:t>
      </w:r>
    </w:p>
    <w:p w:rsidR="00250C25" w:rsidRPr="00250C25" w:rsidRDefault="00250C25" w:rsidP="00250C25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250C2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ВАЖНО! В случай, че е представен Одитен доклад, той не подлежи на проверка.</w:t>
      </w:r>
    </w:p>
    <w:p w:rsidR="004A4F8E" w:rsidRPr="00250C25" w:rsidRDefault="000673A0" w:rsidP="004A4F8E">
      <w:pPr>
        <w:spacing w:after="200" w:line="320" w:lineRule="exact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2. </w:t>
      </w:r>
      <w:r w:rsidR="004A4F8E" w:rsidRPr="00250C25">
        <w:rPr>
          <w:rFonts w:ascii="Times New Roman" w:eastAsia="Calibri" w:hAnsi="Times New Roman" w:cs="Times New Roman"/>
          <w:sz w:val="24"/>
          <w:szCs w:val="24"/>
          <w:lang w:val="bg-BG"/>
        </w:rPr>
        <w:t>Допустими дейности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съвместни конференции, семинари и работни срещи по теми от общ интерес;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изграждане на капацитет и краткосроч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но обучение с оглед на обмена и</w:t>
      </w:r>
      <w:r w:rsidR="00E86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прилагане на професионални или организационни умения;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техническо сътрудничество - учебни пътувания, посещения и срещи с цел споделяне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опит и ноу-хау, вкл. чрез обмен на експерти;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съвместно разработени доклади, анализи, проучвания, проучвания и публикации, данни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колекция;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информационни кампании, изложби, промоц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ионални събития и инициативи за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укрепване на двустранните партньорства;</w:t>
      </w:r>
    </w:p>
    <w:p w:rsidR="000673A0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-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разработване на уеб/дигитални платформи и уеб сайтове за популяризи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ране на проекта </w:t>
      </w: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дейности и подобряване на обмена на комуникация.</w:t>
      </w:r>
    </w:p>
    <w:p w:rsid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3. Недопустими дейности </w:t>
      </w:r>
    </w:p>
    <w:p w:rsidR="004A4F8E" w:rsidRPr="004A4F8E" w:rsidRDefault="004A4F8E" w:rsidP="004A4F8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Следните видове дейности са недопустими: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текущи дейности, вече финансирани от други източници;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спонсорство на физически лица за участие в работни срещи, семинари, конференции;</w:t>
      </w:r>
    </w:p>
    <w:p w:rsid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стипендии на лица за обучение или курсове за обучение;</w:t>
      </w:r>
    </w:p>
    <w:p w:rsidR="004A4F8E" w:rsidRPr="004A4F8E" w:rsidRDefault="004A4F8E" w:rsidP="004A4F8E">
      <w:pPr>
        <w:pStyle w:val="ListParagraph"/>
        <w:numPr>
          <w:ilvl w:val="0"/>
          <w:numId w:val="5"/>
        </w:num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4F8E">
        <w:rPr>
          <w:rFonts w:ascii="Times New Roman" w:eastAsia="Calibri" w:hAnsi="Times New Roman" w:cs="Times New Roman"/>
          <w:sz w:val="24"/>
          <w:szCs w:val="24"/>
          <w:lang w:val="bg-BG"/>
        </w:rPr>
        <w:t>съществуващи програми и редовни дейности на бенефициента/част</w:t>
      </w:r>
    </w:p>
    <w:p w:rsidR="003022CE" w:rsidRPr="003022CE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V. </w:t>
      </w:r>
      <w:r w:rsid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Индикативен срок: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Краен срок за подаване на </w:t>
      </w:r>
      <w:r w:rsidR="00696F6C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двустранната инициатива:</w:t>
      </w:r>
    </w:p>
    <w:p w:rsidR="003022CE" w:rsidRPr="00E86566" w:rsidRDefault="002002F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Краен срок за подаване – 15.01.2024</w:t>
      </w:r>
      <w:r w:rsidR="003022CE"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г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3022CE" w:rsidRPr="00E86566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>Нач</w:t>
      </w:r>
      <w:r w:rsidR="002002FE">
        <w:rPr>
          <w:rFonts w:ascii="Times New Roman" w:eastAsia="Calibri" w:hAnsi="Times New Roman" w:cs="Times New Roman"/>
          <w:sz w:val="24"/>
          <w:szCs w:val="24"/>
          <w:lang w:val="bg-BG"/>
        </w:rPr>
        <w:t>ало на процеса на оценяване – 16.01.2024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г</w:t>
      </w:r>
      <w:r w:rsidR="002002FE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3022CE" w:rsidRPr="00E86566" w:rsidRDefault="002002F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Край на процеса на оценяване: 19.01.2024</w:t>
      </w:r>
      <w:r w:rsidR="003022CE"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г.</w:t>
      </w:r>
    </w:p>
    <w:p w:rsidR="003022CE" w:rsidRDefault="002002F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Стартиране на дейностите по инициативата: 22.01.2024 </w:t>
      </w:r>
      <w:r w:rsidR="003022CE"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>г</w:t>
      </w:r>
      <w:r w:rsidR="00E8656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</w:p>
    <w:p w:rsidR="00E86566" w:rsidRDefault="00E86566" w:rsidP="00E86566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VI.</w:t>
      </w:r>
      <w:r w:rsidRPr="00E86566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Държавни помощи </w:t>
      </w:r>
    </w:p>
    <w:p w:rsidR="00E86566" w:rsidRPr="00E86566" w:rsidRDefault="00E86566" w:rsidP="00E86566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чл. 107, § 1 от Договора за функционирането на Европейския съюз (ДФЕС), „всяка помощ, предоставена от държава-членка или чрез ресурси на държава-членка под каквато и да е форма, която нарушава или заплашва да наруши конкуренцията чрез облагодетелстване на определени предприятия или производство на определени стоки, доколкото засяга търговията между държавите-членки, е несъвместим с вътрешния пазар“. Съгласно постоянната съдебна практика на Европейския съд и съгласно чл. 20, § 2 от Закона за държавните помощи, „Предприятие“ се дефинира като „всяко лице, извършващо икономическа дейност, независимо от правния му статут и начина, по който тя се финансира и всяка дейност, състояща се в предлагане на стоки и услуги на даден пазар, е икономическа дейност“. Във връзка с горепосоченото и като се вземат предвид конкретните дейности, допустими за финансиране по тази процедура, Организаторът – Министерството на околната среда и водите и неговият партньор – Норвежкият институт за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водни изследвания</w:t>
      </w:r>
      <w:r w:rsidRPr="00E86566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(NIVA), и двете юридически лица, няма да действат като предприятия по смисъла на чл. 107, § 1 ДФЕС, тъй като изпълнението на дейностите по проекта не е свързано с предоставяне на стоки и услуги и няма да представлява стопанска дейност. Предварително дефинираната инициатива няма да генерира печалба и в това отношение правилата за държавна помощ са неприложими.</w:t>
      </w:r>
    </w:p>
    <w:p w:rsidR="003022CE" w:rsidRPr="003022CE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="006D069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7E408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Подаване на формуляра за кандидатстване.</w:t>
      </w:r>
    </w:p>
    <w:p w:rsidR="003022CE" w:rsidRPr="003022CE" w:rsidRDefault="003022CE" w:rsidP="00696F6C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Кандидатът </w:t>
      </w:r>
      <w:r w:rsidR="00696F6C">
        <w:rPr>
          <w:rFonts w:ascii="Times New Roman" w:eastAsia="Calibri" w:hAnsi="Times New Roman" w:cs="Times New Roman"/>
          <w:sz w:val="24"/>
          <w:szCs w:val="24"/>
          <w:lang w:val="bg-BG"/>
        </w:rPr>
        <w:t>следва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да подаде формуляра за кандидатстване (Приложение 1) на английски език. Формулярите за кандидатстване за двустранни инициативи се подават на следния имейл: eea@moew.government.bg. Приложено към формулярите за кандидатстване кандидатът трябва да представи писмо за намерение, кореспонденция по електронна поща или друг документ/кореспонденция, доказващ, че кандидатът е установил контакт с партньор по проекта.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VII</w:t>
      </w:r>
      <w:r w:rsidR="006D069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. Процедура за подбор:</w:t>
      </w:r>
    </w:p>
    <w:p w:rsidR="003022CE" w:rsidRPr="003022CE" w:rsidRDefault="003022CE" w:rsidP="00696F6C">
      <w:pPr>
        <w:spacing w:after="20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Получената в рамките на срока двустранна инициатива ще бъде оценена въз основа на критериите за административно съответствие и допустимост и техническа и финансова оценка.</w:t>
      </w:r>
    </w:p>
    <w:p w:rsidR="003022CE" w:rsidRPr="003022CE" w:rsidRDefault="003022CE" w:rsidP="003022CE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 xml:space="preserve">Ако кандидатът не отговаря на всички формални критерии и всички критерии за допустимост ще </w:t>
      </w:r>
      <w:r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бъд</w:t>
      </w:r>
      <w:r w:rsidR="0049029D"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е</w:t>
      </w:r>
      <w:r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отхвърлен.</w:t>
      </w:r>
    </w:p>
    <w:p w:rsidR="007E408C" w:rsidRPr="007E408C" w:rsidRDefault="007E408C" w:rsidP="003022CE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E408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E01D62" w:rsidRPr="004A4F8E" w:rsidTr="007E40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F8E">
              <w:rPr>
                <w:rFonts w:ascii="Times New Roman" w:hAnsi="Times New Roman"/>
                <w:sz w:val="24"/>
                <w:szCs w:val="24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Кандидатът е допустим.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Потенциалният партньор/организация по проекта е допустим.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Формулярът за кандидатстване е получен в определения срок.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Използва се правилният образец – Формуляр за кандидатстване (Приложение 1.); Формулярът за кандидатстване е на английски език.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Представено е писмо за намерение/договор за партньорство, електронна кореспонденция или друг документ/кореспонденция, доказващ, че кандидатът е установил контакт с партньор; представените документи са на български/английски език.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Предвидените дейности са допустими.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E01D62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Разходите са допустими.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numPr>
                <w:ilvl w:val="0"/>
                <w:numId w:val="1"/>
              </w:numPr>
              <w:spacing w:after="120" w:line="320" w:lineRule="exact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Инициативата допринася за целите на Фонда за двустранни отношения, общата цел на Програма BG ENVIRONMENT</w:t>
            </w:r>
            <w:r w:rsidR="007E408C" w:rsidRPr="004A4F8E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62" w:rsidRPr="004A4F8E" w:rsidRDefault="00E01D62" w:rsidP="00E01D62">
            <w:pPr>
              <w:spacing w:after="120" w:line="32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Има връзка между дейностите и разходите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  <w:tr w:rsidR="007E408C" w:rsidRPr="004A4F8E" w:rsidTr="0062183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E01D62" w:rsidP="00E01D62">
            <w:pPr>
              <w:spacing w:after="120" w:line="32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8C" w:rsidRPr="004A4F8E" w:rsidRDefault="00E01D62" w:rsidP="007E408C">
            <w:pPr>
              <w:spacing w:after="120" w:line="320" w:lineRule="exact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F8E">
              <w:rPr>
                <w:rFonts w:ascii="Times New Roman" w:hAnsi="Times New Roman"/>
                <w:sz w:val="24"/>
                <w:szCs w:val="24"/>
                <w:lang w:val="bg-BG"/>
              </w:rPr>
              <w:t>Има подробна обосновка на бюджета/бюджетните редове.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8C" w:rsidRPr="004A4F8E" w:rsidRDefault="007E408C" w:rsidP="007E408C">
            <w:pPr>
              <w:spacing w:after="120" w:line="320" w:lineRule="exact"/>
              <w:jc w:val="both"/>
              <w:rPr>
                <w:rFonts w:ascii="Times New Roman" w:hAnsi="Times New Roman"/>
              </w:rPr>
            </w:pPr>
          </w:p>
        </w:tc>
      </w:tr>
    </w:tbl>
    <w:p w:rsidR="007E408C" w:rsidRPr="007E408C" w:rsidRDefault="007E408C" w:rsidP="007E408C">
      <w:pPr>
        <w:spacing w:after="200" w:line="3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3022CE" w:rsidRPr="003022CE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. Придружаващи докуме</w:t>
      </w:r>
      <w:r w:rsidR="00FD4937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нти преди подписване на договор</w:t>
      </w:r>
      <w:r w:rsidR="00FD4937">
        <w:rPr>
          <w:rFonts w:ascii="Times New Roman" w:eastAsia="Calibri" w:hAnsi="Times New Roman" w:cs="Times New Roman"/>
          <w:b/>
          <w:sz w:val="24"/>
          <w:szCs w:val="24"/>
          <w:lang w:val="en-US"/>
        </w:rPr>
        <w:t>/</w:t>
      </w:r>
      <w:r w:rsidR="00FD4937" w:rsidRPr="0049029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заповед</w:t>
      </w:r>
      <w:r w:rsidR="003022CE" w:rsidRPr="003022CE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. Преди подписването на договора</w:t>
      </w:r>
      <w:r w:rsidR="00FD4937">
        <w:rPr>
          <w:rFonts w:ascii="Times New Roman" w:eastAsia="Calibri" w:hAnsi="Times New Roman" w:cs="Times New Roman"/>
          <w:sz w:val="24"/>
          <w:szCs w:val="24"/>
          <w:lang w:val="bg-BG"/>
        </w:rPr>
        <w:t>/заповедта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кандидатът и партньорът следва да подпишат споразумение за партньорство, което описва подробно разпределението на дейностите и финансовите ангажименти между страните. В случай, че между страните по инициатива</w:t>
      </w:r>
      <w:r w:rsidR="00FD4937">
        <w:rPr>
          <w:rFonts w:ascii="Times New Roman" w:eastAsia="Calibri" w:hAnsi="Times New Roman" w:cs="Times New Roman"/>
          <w:sz w:val="24"/>
          <w:szCs w:val="24"/>
          <w:lang w:val="bg-BG"/>
        </w:rPr>
        <w:t>та</w:t>
      </w: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 възникнат финансови отношения, не е необходимо да се подписва договор за партньорство. В този случай страните подписват писмо за намерение;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1. Декларация за банкова сметка;</w:t>
      </w:r>
    </w:p>
    <w:p w:rsidR="003022CE" w:rsidRP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2. Декларация за ДДС обстоятелства;</w:t>
      </w:r>
    </w:p>
    <w:p w:rsidR="003022CE" w:rsidRDefault="003022CE" w:rsidP="003022CE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3022CE">
        <w:rPr>
          <w:rFonts w:ascii="Times New Roman" w:eastAsia="Calibri" w:hAnsi="Times New Roman" w:cs="Times New Roman"/>
          <w:sz w:val="24"/>
          <w:szCs w:val="24"/>
          <w:lang w:val="bg-BG"/>
        </w:rPr>
        <w:t>3. Декларация за липса на двойно финансиране</w:t>
      </w:r>
    </w:p>
    <w:p w:rsidR="00987571" w:rsidRDefault="00987571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Документът за кандидатстване може да бъде намерен тук:</w:t>
      </w:r>
    </w:p>
    <w:p w:rsidR="00987571" w:rsidRPr="007E408C" w:rsidRDefault="002002FE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8" w:history="1">
        <w:r w:rsidR="00987571" w:rsidRPr="007E408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https://www.eeagrants.bg/en/programs/environment-protection/documents</w:t>
        </w:r>
      </w:hyperlink>
    </w:p>
    <w:p w:rsidR="00987571" w:rsidRDefault="00987571" w:rsidP="00987571">
      <w:pPr>
        <w:spacing w:after="200" w:line="320" w:lineRule="exact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D069B" w:rsidRPr="006D069B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b/>
          <w:sz w:val="24"/>
          <w:szCs w:val="24"/>
          <w:lang w:val="bg-BG"/>
        </w:rPr>
        <w:t>X. Спазване на изискванията за информация и публичност</w:t>
      </w:r>
    </w:p>
    <w:p w:rsidR="006D069B" w:rsidRP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Организаторът/Партньорът гарантира, че информацията за одобрената инициатива се съобщава на обществеността по най-ефективния начин и че приносът на ФМ на ЕИП и НФМ 2014-2021 г. получава подходяща публичност. Като се има предвид специфичната насоченост на Фонда за двустранни отношения, е важно да се даде подходящ обхват на установените партньорства, съвместни дейности и резултати от сътрудничеството. Организаторът/Партньорът се позовава на „Изискванията за информация и публичност“ съгласно ФМ и НФМ на ЕИП 2014-2021, качени на уебсайта на </w:t>
      </w:r>
      <w:r w:rsidR="0098757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националното координационно звено 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www.eeagrants.bg и приложени тук.</w:t>
      </w:r>
    </w:p>
    <w:p w:rsidR="006D069B" w:rsidRP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D069B" w:rsidRPr="006D069B" w:rsidRDefault="006D069B" w:rsidP="006D069B">
      <w:pPr>
        <w:spacing w:after="200" w:line="320" w:lineRule="exac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b/>
          <w:sz w:val="24"/>
          <w:szCs w:val="24"/>
          <w:lang w:val="bg-BG"/>
        </w:rPr>
        <w:t>XI. Нередности</w:t>
      </w:r>
    </w:p>
    <w:p w:rsidR="006D069B" w:rsidRDefault="006D069B" w:rsidP="006D069B">
      <w:pPr>
        <w:spacing w:after="200" w:line="320" w:lineRule="exact"/>
        <w:ind w:firstLine="993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>Нередност означава всяко нарушение на правната рамка на ФМ и НФМ на ЕИП 2014-2021 г., Закона на Европейския съюз или националното законодателство, ако такова нарушение може да засегне или накърни някой етап от прилагането на ФМ и НФМ на ЕИП 2014-2021 г., в Република България, особено изпълнението и/или бюджета на програма, проект или други дейности, финансирани от ФМ на ЕИП и НФМ 2014-2021 (съгласно чл. 12.2 от Правилника). По отношение на „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ФДО</w:t>
      </w:r>
      <w:r w:rsidRPr="006D069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изисква незабавно да уведоми PO във всеки случай на съмнение за нередност. В случай на съмнение за сериозна нередност НЗЦ може да спре плащанията за дадена инициатива за необходимото време.</w:t>
      </w:r>
    </w:p>
    <w:sectPr w:rsidR="006D06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F54" w:rsidRDefault="007C2F54" w:rsidP="007C2F54">
      <w:pPr>
        <w:spacing w:after="0" w:line="240" w:lineRule="auto"/>
      </w:pPr>
      <w:r>
        <w:separator/>
      </w:r>
    </w:p>
  </w:endnote>
  <w:endnote w:type="continuationSeparator" w:id="0">
    <w:p w:rsidR="007C2F54" w:rsidRDefault="007C2F54" w:rsidP="007C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F54" w:rsidRDefault="007C2F54" w:rsidP="007C2F54">
      <w:pPr>
        <w:spacing w:after="0" w:line="240" w:lineRule="auto"/>
      </w:pPr>
      <w:r>
        <w:separator/>
      </w:r>
    </w:p>
  </w:footnote>
  <w:footnote w:type="continuationSeparator" w:id="0">
    <w:p w:rsidR="007C2F54" w:rsidRDefault="007C2F54" w:rsidP="007C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54" w:rsidRPr="0049029D" w:rsidRDefault="007C2F54" w:rsidP="007C2F54">
    <w:pPr>
      <w:pStyle w:val="Header"/>
      <w:ind w:left="142"/>
      <w:jc w:val="center"/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en-US" w:eastAsia="en-GB"/>
      </w:rPr>
    </w:pP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</w:rPr>
      <w:ptab w:relativeTo="margin" w:alignment="center" w:leader="none"/>
    </w: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247E4C26" wp14:editId="1C3C0781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45F88E18" wp14:editId="6B700B54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П</w:t>
    </w:r>
    <w:r w:rsidR="0049029D"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рограма</w:t>
    </w:r>
    <w:r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 xml:space="preserve"> </w:t>
    </w:r>
    <w:r w:rsidR="0049029D" w:rsidRPr="0049029D">
      <w:rPr>
        <w:rFonts w:ascii="Times New Roman" w:hAnsi="Times New Roman" w:cs="Times New Roman"/>
        <w:color w:val="2E74B5" w:themeColor="accent1" w:themeShade="BF"/>
        <w:sz w:val="24"/>
        <w:szCs w:val="24"/>
        <w:lang w:val="bg-BG"/>
      </w:rPr>
      <w:t>„Опазване на околната среда и климатични промени“</w:t>
    </w:r>
  </w:p>
  <w:p w:rsidR="007C2F54" w:rsidRPr="0049029D" w:rsidRDefault="0049029D" w:rsidP="007C2F54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</w:pPr>
    <w:r w:rsidRPr="0049029D"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  <w:t>На ФМ на ЕИП</w:t>
    </w:r>
    <w:r>
      <w:rPr>
        <w:rFonts w:ascii="Times New Roman" w:eastAsia="Calibri" w:hAnsi="Times New Roman" w:cs="Times New Roman"/>
        <w:noProof/>
        <w:color w:val="2E74B5" w:themeColor="accent1" w:themeShade="BF"/>
        <w:sz w:val="24"/>
        <w:szCs w:val="24"/>
        <w:lang w:val="bg-BG" w:eastAsia="en-GB"/>
      </w:rPr>
      <w:t xml:space="preserve"> 2014-2021</w:t>
    </w:r>
  </w:p>
  <w:p w:rsidR="007C2F54" w:rsidRDefault="007C2F54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>
      <w:start w:val="1"/>
      <w:numFmt w:val="lowerRoman"/>
      <w:lvlText w:val="%3."/>
      <w:lvlJc w:val="right"/>
      <w:pPr>
        <w:ind w:left="1942" w:hanging="180"/>
      </w:pPr>
    </w:lvl>
    <w:lvl w:ilvl="3" w:tplc="0402000F">
      <w:start w:val="1"/>
      <w:numFmt w:val="decimal"/>
      <w:lvlText w:val="%4."/>
      <w:lvlJc w:val="left"/>
      <w:pPr>
        <w:ind w:left="2662" w:hanging="360"/>
      </w:pPr>
    </w:lvl>
    <w:lvl w:ilvl="4" w:tplc="04020019">
      <w:start w:val="1"/>
      <w:numFmt w:val="lowerLetter"/>
      <w:lvlText w:val="%5."/>
      <w:lvlJc w:val="left"/>
      <w:pPr>
        <w:ind w:left="3382" w:hanging="360"/>
      </w:pPr>
    </w:lvl>
    <w:lvl w:ilvl="5" w:tplc="0402001B">
      <w:start w:val="1"/>
      <w:numFmt w:val="lowerRoman"/>
      <w:lvlText w:val="%6."/>
      <w:lvlJc w:val="right"/>
      <w:pPr>
        <w:ind w:left="4102" w:hanging="180"/>
      </w:pPr>
    </w:lvl>
    <w:lvl w:ilvl="6" w:tplc="0402000F">
      <w:start w:val="1"/>
      <w:numFmt w:val="decimal"/>
      <w:lvlText w:val="%7."/>
      <w:lvlJc w:val="left"/>
      <w:pPr>
        <w:ind w:left="4822" w:hanging="360"/>
      </w:pPr>
    </w:lvl>
    <w:lvl w:ilvl="7" w:tplc="04020019">
      <w:start w:val="1"/>
      <w:numFmt w:val="lowerLetter"/>
      <w:lvlText w:val="%8."/>
      <w:lvlJc w:val="left"/>
      <w:pPr>
        <w:ind w:left="5542" w:hanging="360"/>
      </w:pPr>
    </w:lvl>
    <w:lvl w:ilvl="8" w:tplc="0402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A2A58E3"/>
    <w:multiLevelType w:val="hybridMultilevel"/>
    <w:tmpl w:val="D76E2C0A"/>
    <w:lvl w:ilvl="0" w:tplc="7E8C669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46B8"/>
    <w:multiLevelType w:val="hybridMultilevel"/>
    <w:tmpl w:val="8B887C78"/>
    <w:lvl w:ilvl="0" w:tplc="EBA00A5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B6546"/>
    <w:multiLevelType w:val="hybridMultilevel"/>
    <w:tmpl w:val="C1B834BC"/>
    <w:lvl w:ilvl="0" w:tplc="4C363B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80694"/>
    <w:multiLevelType w:val="hybridMultilevel"/>
    <w:tmpl w:val="F65E408A"/>
    <w:lvl w:ilvl="0" w:tplc="04020013">
      <w:start w:val="1"/>
      <w:numFmt w:val="upperRoman"/>
      <w:lvlText w:val="%1."/>
      <w:lvlJc w:val="righ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8C"/>
    <w:rsid w:val="000673A0"/>
    <w:rsid w:val="00105AC6"/>
    <w:rsid w:val="002002FE"/>
    <w:rsid w:val="00250C25"/>
    <w:rsid w:val="002A4032"/>
    <w:rsid w:val="002E710A"/>
    <w:rsid w:val="003022CE"/>
    <w:rsid w:val="00334563"/>
    <w:rsid w:val="0049029D"/>
    <w:rsid w:val="004A4F8E"/>
    <w:rsid w:val="005A0EF7"/>
    <w:rsid w:val="00696F6C"/>
    <w:rsid w:val="006D069B"/>
    <w:rsid w:val="007309D7"/>
    <w:rsid w:val="007C2F54"/>
    <w:rsid w:val="007E408C"/>
    <w:rsid w:val="00985ECB"/>
    <w:rsid w:val="00987571"/>
    <w:rsid w:val="00BB1BB1"/>
    <w:rsid w:val="00CD20CE"/>
    <w:rsid w:val="00CE0144"/>
    <w:rsid w:val="00DC70F0"/>
    <w:rsid w:val="00E01D62"/>
    <w:rsid w:val="00E16DC7"/>
    <w:rsid w:val="00E86566"/>
    <w:rsid w:val="00FD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1112AA"/>
  <w15:chartTrackingRefBased/>
  <w15:docId w15:val="{DCC08908-6B35-475A-9A4B-2DCEB7A9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08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40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F5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F5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eagrants.bg/en/programs/environment-protection/documen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84F35-CF5C-49AD-B7B3-2CC91D1B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Zhasmina Dimitrova</dc:creator>
  <cp:keywords/>
  <dc:description/>
  <cp:lastModifiedBy>Monika Georgieva</cp:lastModifiedBy>
  <cp:revision>18</cp:revision>
  <dcterms:created xsi:type="dcterms:W3CDTF">2023-08-14T12:32:00Z</dcterms:created>
  <dcterms:modified xsi:type="dcterms:W3CDTF">2023-12-20T15:07:00Z</dcterms:modified>
</cp:coreProperties>
</file>